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D03C3" w14:textId="77777777" w:rsidR="00652C33" w:rsidRPr="00EC638A" w:rsidRDefault="00652C33">
      <w:pPr>
        <w:rPr>
          <w:rFonts w:asciiTheme="minorHAnsi" w:hAnsiTheme="minorHAnsi"/>
        </w:rPr>
      </w:pPr>
    </w:p>
    <w:p w14:paraId="392610F4" w14:textId="162450E1" w:rsidR="00652C33" w:rsidRPr="00947CE7" w:rsidRDefault="001976C0" w:rsidP="00474D0D">
      <w:pPr>
        <w:pStyle w:val="Overskrift1"/>
      </w:pPr>
      <w:r w:rsidRPr="00947CE7">
        <w:rPr>
          <w:lang w:val="en-GB" w:bidi="en-GB"/>
        </w:rPr>
        <w:t xml:space="preserve">Information about the applicant and partners in an innovation project in business and industry </w:t>
      </w:r>
    </w:p>
    <w:p w14:paraId="04653490" w14:textId="77777777"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63BA9F39" w14:textId="77777777"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and this has been indicated in the grant application form, you must complete the table under Part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bookmarkStart w:id="0" w:name="_GoBack"/>
            <w:bookmarkEnd w:id="0"/>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80A08" w14:textId="77777777" w:rsidR="00EF49E3" w:rsidRDefault="00EF49E3">
      <w:r>
        <w:separator/>
      </w:r>
    </w:p>
  </w:endnote>
  <w:endnote w:type="continuationSeparator" w:id="0">
    <w:p w14:paraId="2909F3CA" w14:textId="77777777" w:rsidR="00EF49E3" w:rsidRDefault="00EF49E3">
      <w:r>
        <w:continuationSeparator/>
      </w:r>
    </w:p>
  </w:endnote>
  <w:endnote w:type="continuationNotice" w:id="1">
    <w:p w14:paraId="3E768B8B" w14:textId="77777777" w:rsidR="00EF49E3" w:rsidRDefault="00EF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F75FA" w14:textId="6FC8C605"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947CE7">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947CE7">
      <w:rPr>
        <w:rStyle w:val="Sidetall"/>
        <w:noProof/>
        <w:lang w:val="en-GB" w:bidi="en-GB"/>
      </w:rPr>
      <w:t>2</w:t>
    </w:r>
    <w:r>
      <w:rPr>
        <w:rStyle w:val="Sidetall"/>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51DB7" w14:textId="77777777" w:rsidR="00EF49E3" w:rsidRDefault="00EF49E3">
      <w:r>
        <w:separator/>
      </w:r>
    </w:p>
  </w:footnote>
  <w:footnote w:type="continuationSeparator" w:id="0">
    <w:p w14:paraId="4F75DF96" w14:textId="77777777" w:rsidR="00EF49E3" w:rsidRDefault="00EF49E3">
      <w:r>
        <w:continuationSeparator/>
      </w:r>
    </w:p>
  </w:footnote>
  <w:footnote w:type="continuationNotice" w:id="1">
    <w:p w14:paraId="033C5F86" w14:textId="77777777" w:rsidR="00EF49E3" w:rsidRDefault="00EF49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58CB3" w14:textId="3912C4CC" w:rsidR="008004AF" w:rsidRPr="00947CE7" w:rsidRDefault="00716409" w:rsidP="00934106">
    <w:pPr>
      <w:rPr>
        <w:lang w:val="en-GB"/>
      </w:rPr>
    </w:pPr>
    <w:r w:rsidRPr="0039135C">
      <w:rPr>
        <w:lang w:val="en-GB" w:bidi="en-GB"/>
      </w:rPr>
      <w:t>Partner information – mandatory attachment to application to RFF</w:t>
    </w:r>
  </w:p>
  <w:p w14:paraId="467389B1" w14:textId="77777777" w:rsidR="008004AF" w:rsidRPr="00947CE7" w:rsidRDefault="008004AF">
    <w:pPr>
      <w:pStyle w:val="Top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5578C"/>
    <w:rsid w:val="00A83D08"/>
    <w:rsid w:val="00A97E54"/>
    <w:rsid w:val="00AB14F2"/>
    <w:rsid w:val="00AC4BFD"/>
    <w:rsid w:val="00AC5447"/>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8F909996FD5764EB58D5484D23EC7DC" ma:contentTypeVersion="0" ma:contentTypeDescription="Opprett et nytt dokument." ma:contentTypeScope="" ma:versionID="3823e0aefb649c10a1e61348e53675a8">
  <xsd:schema xmlns:xsd="http://www.w3.org/2001/XMLSchema" xmlns:xs="http://www.w3.org/2001/XMLSchema" xmlns:p="http://schemas.microsoft.com/office/2006/metadata/properties" targetNamespace="http://schemas.microsoft.com/office/2006/metadata/properties" ma:root="true" ma:fieldsID="3e2500873ed525c1cf306a41cba81e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73AAE-62C7-4414-A51F-C4901E2AEF56}">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3.xml><?xml version="1.0" encoding="utf-8"?>
<ds:datastoreItem xmlns:ds="http://schemas.openxmlformats.org/officeDocument/2006/customXml" ds:itemID="{A271E3CC-FC21-4079-98F0-0C8ADD400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3C03125-2A25-4B46-AE25-00B49D740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268</Words>
  <Characters>1424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1689</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Anne Solheim</cp:lastModifiedBy>
  <cp:revision>4</cp:revision>
  <cp:lastPrinted>2020-08-06T08:00:00Z</cp:lastPrinted>
  <dcterms:created xsi:type="dcterms:W3CDTF">2020-08-06T08:00:00Z</dcterms:created>
  <dcterms:modified xsi:type="dcterms:W3CDTF">2020-12-09T11:51:00Z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0x01010048F909996FD5764EB58D5484D23EC7DC</vt:lpwstr>
  </property>
</Properties>
</file>